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Detailed asset schedule for each person</w:t>
      </w:r>
    </w:p>
    <w:p>
      <w:pPr>
        <w:widowControl/>
        <w:spacing w:after="120" w:line="300"/>
      </w:pPr>
      <w:r>
        <w:t xml:space="preserve">Preparation for a lawyer consultation, not legal advice or a prenuptial or postnuptial agreement. Rules depend on the state and country. Work with a family-law attorney to draft and review your agreement; each partner should have independent counsel. This tool does not provide signing or guarantee enforceability.</w:t>
      </w:r>
    </w:p>
    <w:p>
      <w:pPr>
        <w:widowControl/>
        <w:spacing w:after="120" w:line="300"/>
      </w:pPr>
      <w:r>
        <w:t xml:space="preserve">Repeat for each asset and each person; complete offline.</w:t>
      </w:r>
    </w:p>
    <w:p>
      <w:pPr>
        <w:widowControl/>
        <w:spacing w:after="120" w:line="300"/>
      </w:pPr>
      <w:r>
        <w:t xml:space="preserve">Overview: one item per row. Add rows in Word as needed. Record values in their original currencies; this worksheet does not calculate totals.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3100"/>
        <w:gridCol w:w="1900"/>
        <w:gridCol w:w="2400"/>
        <w:gridCol w:w="2680"/>
      </w:tblGrid>
      <w:tr>
        <w:trPr>
          <w:cantSplit/>
          <w:tblHeader/>
          <w:trHeight w:val="680" w:hRule="atLeast"/>
        </w:trPr>
        <w:tc>
          <w:tcPr>
            <w:tcW w:type="dxa" w:w="31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Asset and category</w:t>
            </w:r>
          </w:p>
        </w:tc>
        <w:tc>
          <w:tcPr>
            <w:tcW w:type="dxa" w:w="19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Owner</w:t>
            </w:r>
          </w:p>
        </w:tc>
        <w:tc>
          <w:tcPr>
            <w:tcW w:type="dxa" w:w="24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Value and currency</w:t>
            </w:r>
          </w:p>
        </w:tc>
        <w:tc>
          <w:tcPr>
            <w:tcW w:type="dxa" w:w="26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Debt and valuation date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Details for one item: identify its row above. Copy this table for each additional item.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Field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Your notes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Recorded owner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Category: cash / investments / real estate / business / retirement / other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Description without account numbers or full addresses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When and how acquired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Source of funds: earnings / gift / inheritance / other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Estimated value, currency, and valuation date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Valuation method and uncertainties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Related debts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Other partner’s contributions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Location of supporting records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Question for counsel about legal classification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Future preferences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Recorded ownership does not necessarily determine legal classification. This working list is not complete legal disclosure. Do not complete your partner’s entries without their involvement.</w:t>
      </w:r>
    </w:p>
    <w:p>
      <w:pPr>
        <w:widowControl/>
        <w:spacing w:after="120" w:line="300"/>
      </w:pPr>
      <w:r>
        <w:t xml:space="preserve">Original educational worksheet by Clear About Us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Detailed asset schedule for each person</dc:title>
  <dc:creator>DowidAI</dc:creator>
  <cp:lastModifiedBy>Un-named</cp:lastModifiedBy>
  <cp:revision>1</cp:revision>
  <dcterms:created xsi:type="dcterms:W3CDTF">2026-10-21T19:29:53.890Z</dcterms:created>
  <dcterms:modified xsi:type="dcterms:W3CDTF">2026-10-21T19:29:53.890Z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