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240"/>
      </w:pPr>
      <w:r>
        <w:rPr>
          <w:b/>
          <w:bCs/>
          <w:color w:val="000000"/>
          <w:sz w:val="36"/>
          <w:szCs w:val="36"/>
        </w:rPr>
        <w:t xml:space="preserve">Both partners expectations worksheet</w:t>
      </w:r>
    </w:p>
    <w:p>
      <w:pPr>
        <w:widowControl/>
        <w:spacing w:after="120" w:line="300"/>
      </w:pPr>
      <w:r>
        <w:t xml:space="preserve">Preparation for a lawyer consultation, not legal advice or a prenuptial or postnuptial agreement. Rules depend on the state and country. Work with a family-law attorney to draft and review your agreement; each partner should have independent counsel. This tool does not provide signing or guarantee enforceability.</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4600"/>
        <w:gridCol w:w="5480"/>
      </w:tblGrid>
      <w:tr>
        <w:trPr>
          <w:cantSplit/>
          <w:tblHeader/>
          <w:trHeight w:val="680" w:hRule="atLeast"/>
        </w:trPr>
        <w:tc>
          <w:tcPr>
            <w:tcW w:type="dxa" w:w="4600"/>
            <w:shd w:fill="EAF1F8"/>
            <w:tcMar>
              <w:top w:type="dxa" w:w="120"/>
              <w:left w:type="dxa" w:w="140"/>
              <w:bottom w:type="dxa" w:w="120"/>
              <w:right w:type="dxa" w:w="140"/>
            </w:tcMar>
            <w:vAlign w:val="center"/>
          </w:tcPr>
          <w:p>
            <w:pPr>
              <w:spacing w:after="0" w:line="280"/>
            </w:pPr>
            <w:r>
              <w:rPr>
                <w:b/>
                <w:bCs/>
                <w:sz w:val="21"/>
                <w:szCs w:val="21"/>
              </w:rPr>
              <w:t xml:space="preserve">Field</w:t>
            </w:r>
          </w:p>
        </w:tc>
        <w:tc>
          <w:tcPr>
            <w:tcW w:type="dxa" w:w="5480"/>
            <w:shd w:fill="EAF1F8"/>
            <w:tcMar>
              <w:top w:type="dxa" w:w="120"/>
              <w:left w:type="dxa" w:w="140"/>
              <w:bottom w:type="dxa" w:w="120"/>
              <w:right w:type="dxa" w:w="140"/>
            </w:tcMar>
            <w:vAlign w:val="center"/>
          </w:tcPr>
          <w:p>
            <w:pPr>
              <w:spacing w:after="0" w:line="280"/>
            </w:pPr>
            <w:r>
              <w:rPr>
                <w:b/>
                <w:bCs/>
                <w:sz w:val="21"/>
                <w:szCs w:val="21"/>
              </w:rPr>
              <w:t xml:space="preserve">Your notes</w:t>
            </w:r>
          </w:p>
        </w:tc>
      </w:tr>
      <w:tr>
        <w:trPr>
          <w:cantSplit/>
          <w:trHeight w:val="680" w:hRule="atLeast"/>
        </w:trPr>
        <w:tc>
          <w:tcPr>
            <w:tcW w:type="dxa" w:w="4600"/>
            <w:shd w:fill="FFFFFF"/>
            <w:tcMar>
              <w:top w:type="dxa" w:w="120"/>
              <w:left w:type="dxa" w:w="140"/>
              <w:bottom w:type="dxa" w:w="120"/>
              <w:right w:type="dxa" w:w="140"/>
            </w:tcMar>
            <w:vAlign w:val="center"/>
          </w:tcPr>
          <w:p>
            <w:pPr>
              <w:spacing w:after="0" w:line="280"/>
            </w:pPr>
            <w:r>
              <w:rPr>
                <w:b w:val="false"/>
                <w:bCs w:val="false"/>
                <w:sz w:val="21"/>
                <w:szCs w:val="21"/>
              </w:rPr>
              <w:t xml:space="preserve">Topic</w:t>
            </w:r>
          </w:p>
        </w:tc>
        <w:tc>
          <w:tcPr>
            <w:tcW w:type="dxa" w:w="5480"/>
            <w:shd w:fill="FFFFFF"/>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8FAFC"/>
            <w:tcMar>
              <w:top w:type="dxa" w:w="120"/>
              <w:left w:type="dxa" w:w="140"/>
              <w:bottom w:type="dxa" w:w="120"/>
              <w:right w:type="dxa" w:w="140"/>
            </w:tcMar>
            <w:vAlign w:val="center"/>
          </w:tcPr>
          <w:p>
            <w:pPr>
              <w:spacing w:after="0" w:line="280"/>
            </w:pPr>
            <w:r>
              <w:rPr>
                <w:b w:val="false"/>
                <w:bCs w:val="false"/>
                <w:sz w:val="21"/>
                <w:szCs w:val="21"/>
              </w:rPr>
              <w:t xml:space="preserve">My preference</w:t>
            </w:r>
          </w:p>
        </w:tc>
        <w:tc>
          <w:tcPr>
            <w:tcW w:type="dxa" w:w="5480"/>
            <w:shd w:fill="F8FAFC"/>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FFFFF"/>
            <w:tcMar>
              <w:top w:type="dxa" w:w="120"/>
              <w:left w:type="dxa" w:w="140"/>
              <w:bottom w:type="dxa" w:w="120"/>
              <w:right w:type="dxa" w:w="140"/>
            </w:tcMar>
            <w:vAlign w:val="center"/>
          </w:tcPr>
          <w:p>
            <w:pPr>
              <w:spacing w:after="0" w:line="280"/>
            </w:pPr>
            <w:r>
              <w:rPr>
                <w:b w:val="false"/>
                <w:bCs w:val="false"/>
                <w:sz w:val="21"/>
                <w:szCs w:val="21"/>
              </w:rPr>
              <w:t xml:space="preserve">My partner’s preference, recorded with their permission</w:t>
            </w:r>
          </w:p>
        </w:tc>
        <w:tc>
          <w:tcPr>
            <w:tcW w:type="dxa" w:w="5480"/>
            <w:shd w:fill="FFFFFF"/>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8FAFC"/>
            <w:tcMar>
              <w:top w:type="dxa" w:w="120"/>
              <w:left w:type="dxa" w:w="140"/>
              <w:bottom w:type="dxa" w:w="120"/>
              <w:right w:type="dxa" w:w="140"/>
            </w:tcMar>
            <w:vAlign w:val="center"/>
          </w:tcPr>
          <w:p>
            <w:pPr>
              <w:spacing w:after="0" w:line="280"/>
            </w:pPr>
            <w:r>
              <w:rPr>
                <w:b w:val="false"/>
                <w:bCs w:val="false"/>
                <w:sz w:val="21"/>
                <w:szCs w:val="21"/>
              </w:rPr>
              <w:t xml:space="preserve">What remains to discuss</w:t>
            </w:r>
          </w:p>
        </w:tc>
        <w:tc>
          <w:tcPr>
            <w:tcW w:type="dxa" w:w="5480"/>
            <w:shd w:fill="F8FAFC"/>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FFFFF"/>
            <w:tcMar>
              <w:top w:type="dxa" w:w="120"/>
              <w:left w:type="dxa" w:w="140"/>
              <w:bottom w:type="dxa" w:w="120"/>
              <w:right w:type="dxa" w:w="140"/>
            </w:tcMar>
            <w:vAlign w:val="center"/>
          </w:tcPr>
          <w:p>
            <w:pPr>
              <w:spacing w:after="0" w:line="280"/>
            </w:pPr>
            <w:r>
              <w:rPr>
                <w:b w:val="false"/>
                <w:bCs w:val="false"/>
                <w:sz w:val="21"/>
                <w:szCs w:val="21"/>
              </w:rPr>
              <w:t xml:space="preserve">Questions for our own lawyers</w:t>
            </w:r>
          </w:p>
        </w:tc>
        <w:tc>
          <w:tcPr>
            <w:tcW w:type="dxa" w:w="5480"/>
            <w:shd w:fill="FFFFFF"/>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8FAFC"/>
            <w:tcMar>
              <w:top w:type="dxa" w:w="120"/>
              <w:left w:type="dxa" w:w="140"/>
              <w:bottom w:type="dxa" w:w="120"/>
              <w:right w:type="dxa" w:w="140"/>
            </w:tcMar>
            <w:vAlign w:val="center"/>
          </w:tcPr>
          <w:p>
            <w:pPr>
              <w:spacing w:after="0" w:line="280"/>
            </w:pPr>
            <w:r>
              <w:rPr>
                <w:b w:val="false"/>
                <w:bCs w:val="false"/>
                <w:sz w:val="21"/>
                <w:szCs w:val="21"/>
              </w:rPr>
              <w:t xml:space="preserve">When to revisit</w:t>
            </w:r>
          </w:p>
        </w:tc>
        <w:tc>
          <w:tcPr>
            <w:tcW w:type="dxa" w:w="5480"/>
            <w:shd w:fill="F8FAFC"/>
            <w:tcMar>
              <w:top w:type="dxa" w:w="120"/>
              <w:left w:type="dxa" w:w="140"/>
              <w:bottom w:type="dxa" w:w="120"/>
              <w:right w:type="dxa" w:w="140"/>
            </w:tcMar>
            <w:vAlign w:val="center"/>
          </w:tcPr>
          <w:p>
            <w:pPr>
              <w:spacing w:after="0" w:line="280"/>
            </w:pPr>
            <w:r>
              <w:rPr>
                <w:b w:val="false"/>
                <w:bCs w:val="false"/>
                <w:sz w:val="21"/>
                <w:szCs w:val="21"/>
              </w:rPr>
              <w:t xml:space="preserve"> </w:t>
            </w:r>
          </w:p>
        </w:tc>
      </w:tr>
    </w:tbl>
    <w:p>
      <w:pPr>
        <w:widowControl/>
        <w:spacing w:after="60" w:line="300"/>
      </w:pPr>
      <w:r>
        <w:t xml:space="preserve"> </w:t>
      </w:r>
    </w:p>
    <w:p>
      <w:pPr>
        <w:widowControl/>
        <w:spacing w:after="120" w:line="300"/>
      </w:pPr>
      <w:r>
        <w:t xml:space="preserve">Repeat for housing, income, debt, business, family care, inheritance, and relocation. Do not add duties about sexual access, giving up safety, or children’s rights. This worksheet contains no signatures or legal clauses.</w:t>
      </w:r>
    </w:p>
    <w:p>
      <w:pPr>
        <w:widowControl/>
        <w:spacing w:after="120" w:line="300"/>
      </w:pPr>
      <w:r>
        <w:t xml:space="preserve">Original educational worksheet by Clear About Us / DowidAI</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Both partners expectations worksheet</dc:title>
  <dc:creator>DowidAI</dc:creator>
  <cp:lastModifiedBy>Un-named</cp:lastModifiedBy>
  <cp:revision>1</cp:revision>
  <dcterms:created xsi:type="dcterms:W3CDTF">2026-10-21T19:30:07.068Z</dcterms:created>
  <dcterms:modified xsi:type="dcterms:W3CDTF">2026-10-21T19:30:07.068Z</dcterms:modified>
</cp:coreProperties>
</file>

<file path=docProps/custom.xml><?xml version="1.0" encoding="utf-8"?>
<Properties xmlns="http://schemas.openxmlformats.org/officeDocument/2006/custom-properties" xmlns:vt="http://schemas.openxmlformats.org/officeDocument/2006/docPropsVTypes"/>
</file>